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u5biyplbaglb" w:id="0"/>
      <w:bookmarkEnd w:id="0"/>
      <w:r w:rsidDel="00000000" w:rsidR="00000000" w:rsidRPr="00000000">
        <w:rPr>
          <w:rtl w:val="0"/>
        </w:rPr>
        <w:t xml:space="preserve">US &amp; EU Trade Barriers (Romania, included)</w:t>
        <w:br w:type="textWrapping"/>
      </w:r>
    </w:p>
    <w:p w:rsidR="00000000" w:rsidDel="00000000" w:rsidP="00000000" w:rsidRDefault="00000000" w:rsidRPr="00000000" w14:paraId="00000002">
      <w:pPr>
        <w:rPr/>
      </w:pPr>
      <w:r w:rsidDel="00000000" w:rsidR="00000000" w:rsidRPr="00000000">
        <w:rPr>
          <w:rtl w:val="0"/>
        </w:rPr>
        <w:t xml:space="preserve">OVERVIEW</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The United States and the Member States of the European Union (EU) share the largest economic relationship in the world. Trade and investment flows between the United States and the EU are a key pillar of prosperity on both sides of the Atlantic and generate substantial economic opportunities.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Goods and services produced by the United States nonetheless face persistent barriers entering and maintaining access to certain sectors of the EU market, which limits the opportunity of U.S. workers and businesses to benefit from transatlantic trade. This chapter of the National Trade Estimate (NTE) Report highlights the most significant of these barriers, some of which have persisted despite repeated efforts at resolution through bilateral consultations, World Trade Organization (WTO) committee meetings, or WTO dispute settlement. Certain barriers have been highlighted in the annual NTE Report for many years.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IMPORT POLICIES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Tariffs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EU’s average Most-Favored-Nation (MFN) applied tariff rate was 5.0 percent in 2023 (latest data available). The EU’s average MFN applied tariff rate was 10.8 percent for agricultural products and 4.1 percent for non-agricultural products in 2023 (latest data available). The EU has bound 100 percent of its tariff lines in the WTO, with an average WTO bound tariff rate of 5.0 percent.</w:t>
      </w:r>
    </w:p>
    <w:p w:rsidR="00000000" w:rsidDel="00000000" w:rsidP="00000000" w:rsidRDefault="00000000" w:rsidRPr="00000000" w14:paraId="0000000D">
      <w:pPr>
        <w:rPr/>
      </w:pPr>
      <w:r w:rsidDel="00000000" w:rsidR="00000000" w:rsidRPr="00000000">
        <w:rPr>
          <w:rtl w:val="0"/>
        </w:rPr>
        <w:t xml:space="preserve">Although the EU’s tariffs are generally low for non-agricultural goods, some EU tariffs are high, such as rates of up to 26 percent for fish and seafood, 22 percent for trucks, 14 percent for bicycles, 10 percent for passenger vehicles, and 6.5 percent for fertilizers and plastics.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Meursing Table Tariff Codes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Many processed food products, such as confectionary products, baked goods, and miscellaneous food preparations, are subject to a special tariff code system in the EU. Under this system, often referred to as the “Meursing” table, the EU charges a tariff on each imported product based on the product’s content of milk protein, milk fat, starch, and sugar. As a result, products that the United States and other countries might consider equivalent for tariff classification purposes sometimes receive different rates of duty in the EU depending on the particular composition of each product. The difficulty of calculating Meursing duties imposes an unnecessary administrative burden on, and creates uncertainty for exporters, especially those seeking to ship new products to the EU.</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Non-Tariff Barriers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Import Licensing – Bananas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Following years of disputes, beginning under the General Agreement on Tariffs and Trade of 1947 (GATT 1947) and later under the WTO Dispute Settlement Understanding, the United States and other countries in 2010 reached agreements with the EU to resolve complaints about successive EU banana import regimes. Beginning in 2013, a U.S. stakeholder expressed concerns to the U.S. Government about actions taken since 2010 by Italian customs authorities to collect retroactive payment of customs duties due to the authorities’ unilateral re-interpretation of the validity of certain EU banana import licenses under pre-2006 EU</w:t>
      </w:r>
    </w:p>
    <w:p w:rsidR="00000000" w:rsidDel="00000000" w:rsidP="00000000" w:rsidRDefault="00000000" w:rsidRPr="00000000" w14:paraId="00000018">
      <w:pPr>
        <w:rPr/>
      </w:pPr>
      <w:r w:rsidDel="00000000" w:rsidR="00000000" w:rsidRPr="00000000">
        <w:rPr>
          <w:rtl w:val="0"/>
        </w:rPr>
        <w:t xml:space="preserve">regulations. In 2017, the Italian Supreme Court, on jurisdictional grounds, ruled against the Italian Government and ordered authorities to repay the collected duties to the U.S. stakeholder. While the duties had been repaid to the stakeholder by December 31, 2024, Italian customs authorities continue to re-issue some of the previous retroactive duty assessments against the stakeholder.</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Customs Barriers and Trade Facilitation</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Notwithstanding the existence of customs legislation that governs all Member States, the EU does not administer its laws through a single customs administration. Rather, there are separate agencies responsible for the administration of EU customs law in each Member State. It is thus difficult for the EU to ensure that its rules and decisions on classification, valuation, origin, and customs procedures are applied uniformly throughout the Member States, and U.S. exports suffer from the uneven and inconsistent application of these requirements.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The Binding Tariff Information program provided for by EU-level law, but administered at the Member State level, does provide for advance rulings on tariff classification and country of origin. However, EU rules do not require the customs agency in one Member State to follow the decisions of the customs agency in another Member State with respect to materially identical issues. In some cases where the customs agency of a Member State administers EU law differently from, or disagrees with, the Binding Tariff Information issued by another Member State, the matter may be referred to the Customs Code Committee (CCC). The CCC consists of Member State representatives and is chaired by a European Commission representative. Although a stated goal for the CCC is to help reconcile differences among Member States and thereby help to achieve uniformity of administration, in practice its success in this regard has been limited. The CCC and other EU-level institutions do not provide transparency in decision-making or opportunities for participation by traders, which might make them more effective tools for achieving the uniform administration and application of EU customs law.</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In addition, the EU lacks tribunals or procedures for the prompt review and EU-wide correction of administrative actions relating to customs matters. Instead, review is provided in the tribunals of each Member State, and the rules regarding these reviews vary from Member State to Member State. A trader encountering differing treatment in multiple Member States must bring a separate appeal in each Member State whose agency rendered an adverse decision.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Ultimately, a question of interpretation of EU law may be referred to the Court of Justice of the European Union (CJEU). Although the judgments of the CJEU apply throughout the EU, referral of a question to the CJEU is generally discretionary, may take many years, and may not afford sufficient redress. Thus, obtaining corrections with EU-wide effect for administrative actions relating to customs matters is frequently cumbersome and time-consuming. The United States has raised concerns regarding the lack of uniform administration of EU customs law with the EU in various forums, including in the WTO Dispute Settlement Body (DSB).</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 European Commission has sought to modernize and simplify customs rules and processes. The Union Customs Code (UCC), adopted by the European Commission in 2013, entered into force in 2016. While the UCC contains a number of procedural changes, the key element of a harmonized information technology infrastructure has yet to be completed. Member States continue to use different data templates. In 2019, the expected completion date for full implementation of harmonized customs data systems was extended from the end of 2020 to the end of 2025. The European Commission plans to undertake comprehensive reform of the Customs Union beginning in 2028. The United States will continue to monitor the UCC implementation process, focusing on its impact on the consistency of customs treatment under EU customs law</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p141</w:t>
      </w:r>
    </w:p>
    <w:p w:rsidR="00000000" w:rsidDel="00000000" w:rsidP="00000000" w:rsidRDefault="00000000" w:rsidRPr="00000000" w14:paraId="00000028">
      <w:pPr>
        <w:rPr>
          <w:b w:val="1"/>
          <w:bCs w:val="1"/>
          <w:sz w:val="28"/>
          <w:szCs w:val="28"/>
        </w:rPr>
      </w:pPr>
      <w:r w:rsidDel="00000000" w:rsidR="00000000" w:rsidRPr="00000000">
        <w:rPr>
          <w:b w:val="1"/>
          <w:bCs w:val="1"/>
          <w:sz w:val="28"/>
          <w:szCs w:val="28"/>
          <w:rtl w:val="0"/>
        </w:rPr>
        <w:t xml:space="preserve">Classification, Labeling, and Packaging Hazard Classes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The United States has voiced concerns regarding the European Commission Delegated Regulation (EU) 2023/707 of December 19, 2022 (amending Regulation (EC) 1272/2008) regarding hazard classes and criteria for the classification, labeling and packaging of substances and mixtures, noting that the new CLP classification and labeling requirements will diverge from the Globally Harmonized System of Classification and Labelling of Chemicals (GHS). The United States has encouraged the EU not to preempt a scientific review by the Organization for Economic Cooperation and Development (OECD) of new labeling requirements and to remain harmonized with the GHS. Delegated Regulation 2023/707 entered into force on April 20, 2023. The EU released guidance on these new classification and labeling requirements in November 2024, with the new requirements going into effect in May 2025 for new substances and November 2026 for substances already on the market.</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p141</w:t>
      </w:r>
    </w:p>
    <w:p w:rsidR="00000000" w:rsidDel="00000000" w:rsidP="00000000" w:rsidRDefault="00000000" w:rsidRPr="00000000" w14:paraId="0000002F">
      <w:pPr>
        <w:rPr>
          <w:b w:val="1"/>
          <w:bCs w:val="1"/>
          <w:sz w:val="28"/>
          <w:szCs w:val="28"/>
        </w:rPr>
      </w:pPr>
      <w:r w:rsidDel="00000000" w:rsidR="00000000" w:rsidRPr="00000000">
        <w:rPr>
          <w:b w:val="1"/>
          <w:bCs w:val="1"/>
          <w:sz w:val="28"/>
          <w:szCs w:val="28"/>
          <w:rtl w:val="0"/>
        </w:rPr>
        <w:t xml:space="preserve">Per- and Polyfluoroalkyl Substances</w:t>
      </w:r>
    </w:p>
    <w:p w:rsidR="00000000" w:rsidDel="00000000" w:rsidP="00000000" w:rsidRDefault="00000000" w:rsidRPr="00000000" w14:paraId="00000030">
      <w:pPr>
        <w:rPr/>
      </w:pPr>
      <w:r w:rsidDel="00000000" w:rsidR="00000000" w:rsidRPr="00000000">
        <w:rPr>
          <w:rtl w:val="0"/>
        </w:rPr>
        <w:t xml:space="preserve">On February 7, 2023, the European Chemicals Agency published a proposed restriction that would largely eliminate the production and use of per- and polyfluoroalkyl substances (PFAS). The United States is concerned that the EU proposal does not consider the different impacts on various PFAS chemicals, nor the implications of the ban for several critical uses, such as in the production of some renewable energy products, as well as other manufactured goods such as semiconductors and medical devices, for which there are, as yet, no feasible alternatives to PFAS. Additionally, the proposal could impact the implementation of global treaties to reduce ozone depletion, such as the Kigali Amendment to the Montreal Protocol, by restricting alternatives to existing substances. The United States continues to raise these concerns bilaterally, including at WTO TBT Committee meetings.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p141</w:t>
      </w:r>
    </w:p>
    <w:p w:rsidR="00000000" w:rsidDel="00000000" w:rsidP="00000000" w:rsidRDefault="00000000" w:rsidRPr="00000000" w14:paraId="00000034">
      <w:pPr>
        <w:rPr>
          <w:b w:val="1"/>
          <w:bCs w:val="1"/>
          <w:sz w:val="28"/>
          <w:szCs w:val="28"/>
        </w:rPr>
      </w:pPr>
      <w:r w:rsidDel="00000000" w:rsidR="00000000" w:rsidRPr="00000000">
        <w:rPr>
          <w:b w:val="1"/>
          <w:bCs w:val="1"/>
          <w:sz w:val="28"/>
          <w:szCs w:val="28"/>
          <w:rtl w:val="0"/>
        </w:rPr>
        <w:t xml:space="preserve">Fluorinated Greenhouse Gases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In February 2024, the EU adopted an update to the 2014 Fluorinated Greenhouse Gas (F-Gas) Regulation, (EU) 2024/573 that will accelerate the phase-out of many technologies that use F-gases. The Regulation included restrictions on certain uses of hydrofluoroolefins (HFOs), even though these gases are not restricted via the Kigali Amendment to the Montreal Protocol. The EU’s decision was taken without consideration of viable technological and commercially available alternatives. The United States further expressed concerns that the restriction of low GWP HFOs under the F-gas Regulation was premature and possibly duplicative of the EU’s proposed PFAS restriction via REACH. The United States repeatedly raised concerns regarding the EU’s approach both bilaterally and at the WTO TBT Committee, and continues to monitor implementation of the measure, as it may have significant implications for U.S. exporters.</w:t>
      </w:r>
    </w:p>
    <w:p w:rsidR="00000000" w:rsidDel="00000000" w:rsidP="00000000" w:rsidRDefault="00000000" w:rsidRPr="00000000" w14:paraId="00000037">
      <w:pPr>
        <w:rPr/>
      </w:pPr>
      <w:r w:rsidDel="00000000" w:rsidR="00000000" w:rsidRPr="00000000">
        <w:rPr>
          <w:rtl w:val="0"/>
        </w:rPr>
        <w:t xml:space="preserve">(Additional concerns with the EU policies in regard to F-Gas are discussed in the Other Barriers section of this NTE Report chapter.)</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p142</w:t>
      </w:r>
    </w:p>
    <w:p w:rsidR="00000000" w:rsidDel="00000000" w:rsidP="00000000" w:rsidRDefault="00000000" w:rsidRPr="00000000" w14:paraId="0000003B">
      <w:pPr>
        <w:rPr>
          <w:b w:val="1"/>
          <w:bCs w:val="1"/>
          <w:sz w:val="28"/>
          <w:szCs w:val="28"/>
        </w:rPr>
      </w:pPr>
      <w:r w:rsidDel="00000000" w:rsidR="00000000" w:rsidRPr="00000000">
        <w:rPr>
          <w:b w:val="1"/>
          <w:bCs w:val="1"/>
          <w:sz w:val="28"/>
          <w:szCs w:val="28"/>
          <w:rtl w:val="0"/>
        </w:rPr>
        <w:t xml:space="preserve">Deforestation-Free Supply Chain Regulation</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On June 29, 2023, the EU issued a deforestation-free supply chain regulation (Regulation (EU) 2023/1115), with an initial 18-month transition period through December 30, 2024. The regulation aims to curb deforestation and forest degradation linked to European consumption and production of beef, coffee, cocoa, palm oil, soy, wood, rubber, and their derived products (e.g., charcoal, furniture, tires, paper, leather), with potential expansion to other products and ecosystems. U.S. agricultural and commodity stakeholders have raised concerns that due diligence and traceability requirements in the regulation may not be possible for U.S. companies to meet. To date, the EU has refused to notify the regulation to WTO Members or to provide an opportunity for WTO Members and other stakeholders to comment on the regulation. The United States and 17 other WTO Members raised concerns with the regulation at the November 2024 WTO TBT Committee meeting. The United States continues to seek WTO notification of the measure and to engage the EU on its implementation. In 2023, U.S. exports of products covered by the EU’s deforestation-free regulation exceeded $8 billion (latest data available).</w:t>
      </w:r>
    </w:p>
    <w:p w:rsidR="00000000" w:rsidDel="00000000" w:rsidP="00000000" w:rsidRDefault="00000000" w:rsidRPr="00000000" w14:paraId="0000003E">
      <w:pPr>
        <w:rPr/>
      </w:pPr>
      <w:r w:rsidDel="00000000" w:rsidR="00000000" w:rsidRPr="00000000">
        <w:rPr>
          <w:rtl w:val="0"/>
        </w:rPr>
        <w:t xml:space="preserve">Many U.S. stakeholders had argued that the transition period through December 30, 2024 was insufficient time for compliance. On December 19, 2024, the EU issued Regulation (EU) 2024/3234 delaying implementation by 12 months (to December 30, 2025) for large and medium companies and 18 months (to June 30, 2026) for micro and small companies to give operators and competent authorities additional time to prepare. The Commission also published long-awaited guidance documents and new FAQs to support operators’ compliance preparations, as well as some details of the methodology for determining country risk benchmarking levels. Additionally, the Commission announced the country benchmarking system will be finalized through a proposed implementing act by June 30, 2025. The United States will continue to engage with the EU regarding implementation and enforcement of the regulation to ensure that U.S. exports will not be disadvantaged</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p142</w:t>
      </w:r>
    </w:p>
    <w:p w:rsidR="00000000" w:rsidDel="00000000" w:rsidP="00000000" w:rsidRDefault="00000000" w:rsidRPr="00000000" w14:paraId="00000042">
      <w:pPr>
        <w:rPr>
          <w:b w:val="1"/>
          <w:bCs w:val="1"/>
          <w:sz w:val="28"/>
          <w:szCs w:val="28"/>
        </w:rPr>
      </w:pPr>
      <w:r w:rsidDel="00000000" w:rsidR="00000000" w:rsidRPr="00000000">
        <w:rPr>
          <w:b w:val="1"/>
          <w:bCs w:val="1"/>
          <w:sz w:val="28"/>
          <w:szCs w:val="28"/>
          <w:rtl w:val="0"/>
        </w:rPr>
        <w:t xml:space="preserve">Eco-design for Sustainable Products Regulation and the Digital Product Passport</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On July 18, 2024, the Eco-design for Sustainable Products Regulation (Regulation (EU) 2024/1781) entered into force. The regulation establishes an eco-design framework for sustainable products that will require industry to meet new sustainability requirements. Articles 7 through 15 of the regulation require industry to develop and implement a new digital label (known as a Digital Product Passport or DPP) to trace lifecycle information and other aspects of a product in order to inform consumers and help public authorities to better perform checks and controls. Some U.S. stakeholders are concerned that the DPP requirements set unrealistic implementation timelines and do not include sufficient safeguards to prevent the unauthorized disclosure of confidential business information. The United States made multiple requests to the EU to notify the measure to the WTO to allow trading partners the opportunity to provide feedback. To date, the EU has refused to notify the measure.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b w:val="1"/>
          <w:bCs w:val="1"/>
          <w:sz w:val="28"/>
          <w:szCs w:val="28"/>
        </w:rPr>
      </w:pPr>
      <w:r w:rsidDel="00000000" w:rsidR="00000000" w:rsidRPr="00000000">
        <w:rPr>
          <w:rtl w:val="0"/>
        </w:rPr>
        <w:t xml:space="preserve">p143</w:t>
      </w:r>
      <w:r w:rsidDel="00000000" w:rsidR="00000000" w:rsidRPr="00000000">
        <w:rPr>
          <w:rtl w:val="0"/>
        </w:rPr>
      </w:r>
    </w:p>
    <w:p w:rsidR="00000000" w:rsidDel="00000000" w:rsidP="00000000" w:rsidRDefault="00000000" w:rsidRPr="00000000" w14:paraId="00000048">
      <w:pPr>
        <w:rPr>
          <w:b w:val="1"/>
          <w:bCs w:val="1"/>
          <w:sz w:val="28"/>
          <w:szCs w:val="28"/>
        </w:rPr>
      </w:pPr>
      <w:r w:rsidDel="00000000" w:rsidR="00000000" w:rsidRPr="00000000">
        <w:rPr>
          <w:b w:val="1"/>
          <w:bCs w:val="1"/>
          <w:sz w:val="28"/>
          <w:szCs w:val="28"/>
          <w:rtl w:val="0"/>
        </w:rPr>
        <w:t xml:space="preserve">Renewable Energy Directive</w:t>
      </w:r>
    </w:p>
    <w:p w:rsidR="00000000" w:rsidDel="00000000" w:rsidP="00000000" w:rsidRDefault="00000000" w:rsidRPr="00000000" w14:paraId="00000049">
      <w:pPr>
        <w:rPr>
          <w:b w:val="1"/>
          <w:bCs w:val="1"/>
          <w:sz w:val="28"/>
          <w:szCs w:val="28"/>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The EU Renewable Energy Directive (RED) ((EC) 2009/28) requires that biofuels and biofuel feedstocks obtain a “Proof of Sustainability” certification to qualify for tax incentives and national use targets. RED also establishes a methodology and accounting system by which Member States may record and calculate required greenhouse gas emission savings as compared to a baseline for fossil fuels.</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In 2018, the European Commission adopted a new Renewable Energy Directive (RED II) for the period 2021 to 2030. RED II entered into force on January 1, 2021 and introduced sustainability requirements for forestry biomass (wood pellets). The European Commission began revisions of RED II in 2022, and the final revisions were published on October 31, 2023. The revisions to RED II increased the EU’s binding renewable target for 2030 to a minimum of 42.5 percent, up from the prior 32 percent target. However, the sustainability criteria for biofuels and biomass were not fundamentally changed, which may limit U.S. exports of biofuels and biomass that would otherwise provide viable renewable sources for the EU’s renewable energy targets. The United States exported approximately $272 million in wood pellets and $440 million in bioethanol to the EU in 2024.</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p148</w:t>
      </w:r>
    </w:p>
    <w:p w:rsidR="00000000" w:rsidDel="00000000" w:rsidP="00000000" w:rsidRDefault="00000000" w:rsidRPr="00000000" w14:paraId="00000053">
      <w:pPr>
        <w:rPr>
          <w:b w:val="1"/>
          <w:bCs w:val="1"/>
          <w:sz w:val="28"/>
          <w:szCs w:val="28"/>
        </w:rPr>
      </w:pPr>
      <w:r w:rsidDel="00000000" w:rsidR="00000000" w:rsidRPr="00000000">
        <w:rPr>
          <w:b w:val="1"/>
          <w:bCs w:val="1"/>
          <w:sz w:val="28"/>
          <w:szCs w:val="28"/>
          <w:rtl w:val="0"/>
        </w:rPr>
        <w:t xml:space="preserve">Member State Measures on Agriculture Biotechnology</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In March 2015, the EU adopted a directive allowing Member States to prohibit the cultivation of GE plants in their respective territories for non-scientific reasons (Directive (EU) 2015/412). Under the transitional measures, Member States had until October 2015 to request exemption from the geographical scope of the authorizations already granted or that were under regulatory review for EU cultivation approval. Eighteen Member States “opted-out” of GE crop cultivation for all or part of their territories, and none of the five Member States (the Czech Republic, Portugal, Romania, Slovakia, and Spain) that grew GE corn opted out. However, as of 2024, only Portugal and Spain commercially cultivated GE corn.</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Seventeen Member States have opted out of cultivation using biotechnology seeds. The 17 Member States that requested exclusion of their entire territory from the geographical scope of biotechnology applications are Austria, Bulgaria, Croatia, Cyprus, Denmark, France, Germany, Greece, Hungary, Italy, Latvia, Lithuania, Luxembourg, Malta, the Netherlands, Poland, and Slovenia. Additionally, one region in Belgium, Wallonia, has also opted out of cultivation. All of these Member States and regions have decided to prohibit the cultivation of Monsanto 810 corn (MON810) and the seven varieties of corn that were submitted for EU-wide approval in 2015 (apart from Denmark and Luxembourg, which have only prohibited MON810 and three of the seven varieties of corn that were submitted for EU-wide approval).</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p148</w:t>
      </w:r>
    </w:p>
    <w:p w:rsidR="00000000" w:rsidDel="00000000" w:rsidP="00000000" w:rsidRDefault="00000000" w:rsidRPr="00000000" w14:paraId="0000005B">
      <w:pPr>
        <w:rPr>
          <w:b w:val="1"/>
          <w:bCs w:val="1"/>
          <w:sz w:val="28"/>
          <w:szCs w:val="28"/>
        </w:rPr>
      </w:pPr>
      <w:r w:rsidDel="00000000" w:rsidR="00000000" w:rsidRPr="00000000">
        <w:rPr>
          <w:b w:val="1"/>
          <w:bCs w:val="1"/>
          <w:sz w:val="28"/>
          <w:szCs w:val="28"/>
          <w:rtl w:val="0"/>
        </w:rPr>
        <w:t xml:space="preserve">EU Fumigation Requirements for Hardwood Lumber and Logs</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The EU previously prohibited the use of methyl bromide to fumigate logs and wood chips imports. Fumigation with sulfuryl fluoride is considered an equally effective substitute and is used throughout the EU, including for EU log exports. While the EU approved the use of sulfuryl fluoride for certain U.S. log exports in 2023, the decision on its use for U.S. pine wood chips remains pending scientific review, which leaves U.S. exporters of pine wood chips without a commercially viable fumigation option. Heat treatment, which is the EU alternative to fumigation, is not scalable in many instances. The United States will continue to engage with the EU on this issue to identify a path forward.</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b w:val="1"/>
          <w:bCs w:val="1"/>
          <w:sz w:val="28"/>
          <w:szCs w:val="28"/>
        </w:rPr>
      </w:pPr>
      <w:r w:rsidDel="00000000" w:rsidR="00000000" w:rsidRPr="00000000">
        <w:rPr>
          <w:b w:val="1"/>
          <w:bCs w:val="1"/>
          <w:sz w:val="28"/>
          <w:szCs w:val="28"/>
          <w:rtl w:val="0"/>
        </w:rPr>
        <w:t xml:space="preserve">Member State Measures on Intellectual Property</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P149 </w:t>
      </w:r>
    </w:p>
    <w:p w:rsidR="00000000" w:rsidDel="00000000" w:rsidP="00000000" w:rsidRDefault="00000000" w:rsidRPr="00000000" w14:paraId="00000064">
      <w:pPr>
        <w:rPr/>
      </w:pPr>
      <w:r w:rsidDel="00000000" w:rsidR="00000000" w:rsidRPr="00000000">
        <w:rPr>
          <w:b w:val="1"/>
          <w:bCs w:val="1"/>
          <w:rtl w:val="0"/>
        </w:rPr>
        <w:t xml:space="preserve">Online piracy</w:t>
      </w:r>
      <w:r w:rsidDel="00000000" w:rsidR="00000000" w:rsidRPr="00000000">
        <w:rPr>
          <w:rtl w:val="0"/>
        </w:rPr>
        <w:t xml:space="preserve"> remains a concern with some notorious online pirate sites reportedly hosted or registered in Romania. Low penalties for IP violations impede investigations and do not offer any meaningful deterrent to further IP crimes, so law enforcement choose to bundle significant cases under tax evasion penal files. Romania lacks an effective and timely mechanism for right holders to submit takedown requests against online markets and hosting platforms for infringing material. Adequate resources, including additional training for law enforcement, are needed to enhance enforcement quality. Although Romania has made progress on addressing long-standing IP protection and enforcement concerns, the United States continues to closely follow IP-related developments in the country.</w:t>
        <w:br w:type="textWrapping"/>
        <w:br w:type="textWrapping"/>
      </w:r>
    </w:p>
    <w:p w:rsidR="00000000" w:rsidDel="00000000" w:rsidP="00000000" w:rsidRDefault="00000000" w:rsidRPr="00000000" w14:paraId="00000065">
      <w:pPr>
        <w:rPr>
          <w:b w:val="1"/>
          <w:bCs w:val="1"/>
          <w:sz w:val="28"/>
          <w:szCs w:val="28"/>
        </w:rPr>
      </w:pPr>
      <w:r w:rsidDel="00000000" w:rsidR="00000000" w:rsidRPr="00000000">
        <w:rPr>
          <w:rtl w:val="0"/>
        </w:rPr>
      </w:r>
    </w:p>
    <w:p w:rsidR="00000000" w:rsidDel="00000000" w:rsidP="00000000" w:rsidRDefault="00000000" w:rsidRPr="00000000" w14:paraId="00000066">
      <w:pPr>
        <w:rPr>
          <w:b w:val="1"/>
          <w:bCs w:val="1"/>
          <w:sz w:val="28"/>
          <w:szCs w:val="28"/>
        </w:rPr>
      </w:pPr>
      <w:r w:rsidDel="00000000" w:rsidR="00000000" w:rsidRPr="00000000">
        <w:rPr>
          <w:b w:val="1"/>
          <w:bCs w:val="1"/>
          <w:sz w:val="28"/>
          <w:szCs w:val="28"/>
          <w:rtl w:val="0"/>
        </w:rPr>
        <w:t xml:space="preserve">GOVERNMENT PROCUREMENT</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Government procurement is governed by the EU public procurement directives. The directive on procurement in the utilities sector covers purchases in the water, transportation, energy, and postal sectors. This directive requires open and competitive bidding procedures, but it gives Member States the option to reject bids with less than 50 percent EU content for tenders that are not covered by a multilateral or bilateral reciprocal agreement. The EU content requirement applies to foreign suppliers of goods and services in water (the production, transport, and distribution of drinking water), energy (gas and heat), urban transport (urban rail, automated systems, trams, buses), and postal services.</w:t>
      </w:r>
    </w:p>
    <w:p w:rsidR="00000000" w:rsidDel="00000000" w:rsidP="00000000" w:rsidRDefault="00000000" w:rsidRPr="00000000" w14:paraId="00000069">
      <w:pPr>
        <w:rPr/>
      </w:pPr>
      <w:r w:rsidDel="00000000" w:rsidR="00000000" w:rsidRPr="00000000">
        <w:rPr>
          <w:rtl w:val="0"/>
        </w:rPr>
        <w:t xml:space="preserve">The EU is a Party to the WTO Agreement on Government Procurement (GPA).</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b w:val="1"/>
          <w:bCs w:val="1"/>
        </w:rPr>
      </w:pPr>
      <w:r w:rsidDel="00000000" w:rsidR="00000000" w:rsidRPr="00000000">
        <w:rPr>
          <w:b w:val="1"/>
          <w:bCs w:val="1"/>
          <w:rtl w:val="0"/>
        </w:rPr>
        <w:t xml:space="preserve">Member State Measures on Public Procurement</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Lack of transparency in certain Member State public procurement processes continues to be a barrier to the participation of U.S. firms. U.S. firms have also voiced concerns over onerous documentation requirements and implicit biases in favor of local vendors and other suppliers based on lowest cost instead of the full lifecycle of the procurement. Additional Member State-specific trade barriers to U.S. stakeholder participation in public procurement processes are discussed below.</w:t>
      </w:r>
    </w:p>
    <w:p w:rsidR="00000000" w:rsidDel="00000000" w:rsidP="00000000" w:rsidRDefault="00000000" w:rsidRPr="00000000" w14:paraId="0000006E">
      <w:pPr>
        <w:rPr/>
      </w:pPr>
      <w:r w:rsidDel="00000000" w:rsidR="00000000" w:rsidRPr="00000000">
        <w:rPr>
          <w:rtl w:val="0"/>
        </w:rPr>
        <w:t xml:space="preserve">p155</w:t>
        <w:br w:type="textWrapping"/>
      </w:r>
    </w:p>
    <w:p w:rsidR="00000000" w:rsidDel="00000000" w:rsidP="00000000" w:rsidRDefault="00000000" w:rsidRPr="00000000" w14:paraId="0000006F">
      <w:pPr>
        <w:rPr>
          <w:b w:val="1"/>
          <w:bCs w:val="1"/>
          <w:sz w:val="28"/>
          <w:szCs w:val="28"/>
        </w:rPr>
      </w:pPr>
      <w:r w:rsidDel="00000000" w:rsidR="00000000" w:rsidRPr="00000000">
        <w:rPr>
          <w:b w:val="1"/>
          <w:bCs w:val="1"/>
          <w:sz w:val="28"/>
          <w:szCs w:val="28"/>
          <w:rtl w:val="0"/>
        </w:rPr>
        <w:t xml:space="preserve">EU Defense Procurement</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On March 4, 2024, the European Commission released its first </w:t>
      </w:r>
      <w:r w:rsidDel="00000000" w:rsidR="00000000" w:rsidRPr="00000000">
        <w:rPr>
          <w:b w:val="1"/>
          <w:bCs w:val="1"/>
          <w:rtl w:val="0"/>
        </w:rPr>
        <w:t xml:space="preserve">European Defense Industrial Strategy (EDIS)</w:t>
      </w:r>
      <w:r w:rsidDel="00000000" w:rsidR="00000000" w:rsidRPr="00000000">
        <w:rPr>
          <w:rtl w:val="0"/>
        </w:rPr>
        <w:t xml:space="preserve"> and related draft legislation, the </w:t>
      </w:r>
      <w:r w:rsidDel="00000000" w:rsidR="00000000" w:rsidRPr="00000000">
        <w:rPr>
          <w:b w:val="1"/>
          <w:bCs w:val="1"/>
          <w:rtl w:val="0"/>
        </w:rPr>
        <w:t xml:space="preserve">European Defense Investment Program (EDIP)</w:t>
      </w:r>
      <w:r w:rsidDel="00000000" w:rsidR="00000000" w:rsidRPr="00000000">
        <w:rPr>
          <w:rtl w:val="0"/>
        </w:rPr>
        <w:t xml:space="preserve">, which essentially seeks to establish a subsidy program. Member States continue to negotiate EDIP’s final text. On September 17, 2024, the European Commission President sent a “mission letter” to the European Commissioner for Defense Space instructing the Commissioner to oversee the implementation of the defense strategy, including its recommendations related to procurement for EU-made equipment.</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b w:val="1"/>
          <w:bCs w:val="1"/>
          <w:rtl w:val="0"/>
        </w:rPr>
        <w:t xml:space="preserve">EDIS notes the goal of allocating 50 percent of EU military procurement budgets to EU-made equipment by 2030, with an increase to 60 percent by 2035. Consistent with this “buy European” philosophy, current proposals for EDIP require that at least 65 percent of the value of EDIP-funded projects accrue to EU firms in order to be eligible to EDIP funding.</w:t>
      </w:r>
      <w:r w:rsidDel="00000000" w:rsidR="00000000" w:rsidRPr="00000000">
        <w:rPr>
          <w:rtl w:val="0"/>
        </w:rPr>
        <w:t xml:space="preserve"> </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Further, Member States are considering a provision in EDIP on “design authority” that would remove access to U.S. manufacturers, or inclusion of U.S. government regulations related to future use, alterations, or eventual third-party exports of defense articles. This raises concerns for U.S. defense equipment suppliers including its potential impact on U.S. domestic manufacturing and U.S. investment opportunities in the European defense sector and would harm small and medium-sized European enterprises that seek to grow but also depend on U.S.-made components. EU Member States cover non-sensitive defense procurements in their international procurement obligations in the WTO GPA and all defense procurements for a limited number of Member States in their Reciprocal Defense Procurement (RDP) Agreements administered by the U.S. Department of Defense (DOD). EU Member States therefore are required to offer reciprocal non-discriminatory access to U.S. goods, services, and suppliers for covered procurements. The United States will continue to closely monitor developments in this area to ensure EU procurement continues to be implemented consistent with international procurement obligations.</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b w:val="1"/>
          <w:bCs w:val="1"/>
          <w:sz w:val="28"/>
          <w:szCs w:val="28"/>
        </w:rPr>
      </w:pPr>
      <w:r w:rsidDel="00000000" w:rsidR="00000000" w:rsidRPr="00000000">
        <w:rPr>
          <w:b w:val="1"/>
          <w:bCs w:val="1"/>
          <w:sz w:val="28"/>
          <w:szCs w:val="28"/>
          <w:rtl w:val="0"/>
        </w:rPr>
        <w:t xml:space="preserve">Audiovisual Services</w:t>
      </w:r>
    </w:p>
    <w:p w:rsidR="00000000" w:rsidDel="00000000" w:rsidP="00000000" w:rsidRDefault="00000000" w:rsidRPr="00000000" w14:paraId="0000007A">
      <w:pPr>
        <w:rPr>
          <w:b w:val="1"/>
          <w:bCs w:val="1"/>
          <w:sz w:val="28"/>
          <w:szCs w:val="28"/>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In 2018, amendments to the 2007 </w:t>
      </w:r>
      <w:r w:rsidDel="00000000" w:rsidR="00000000" w:rsidRPr="00000000">
        <w:rPr>
          <w:b w:val="1"/>
          <w:bCs w:val="1"/>
          <w:rtl w:val="0"/>
        </w:rPr>
        <w:t xml:space="preserve">Audiovisual Media Services Directive (AVMSD)</w:t>
      </w:r>
      <w:r w:rsidDel="00000000" w:rsidR="00000000" w:rsidRPr="00000000">
        <w:rPr>
          <w:rtl w:val="0"/>
        </w:rPr>
        <w:t xml:space="preserve"> were adopted to reflect developments in the audiovisual and video-on-demand markets. Member States were given 21 months to transpose the amendments into national legislation.</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The original AVMSD established minimum content quotas for broadcasting that had to be enforced by all Member States. Member State requirements were permitted to exceed this minimum quota for EU content, and several have done so. However, the original AVMSD did not set any strict content quotas for on-demand services, although it still required Member States to ensure that on-demand services encourage production of, and access to, “EU works.”</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The 2018 amendments include provisions that impose on Internet-based video-on-demand providers a minimum 30 percent threshold for EU content in their catalogues and require that they give prominence to EU content in their offerings. The new AVMSD also provides Member States the option of requiring on-demand service providers not based in their territory, but whose targeted audience is in their territory, to contribute financially to EU works, based on revenues generated in that Member State. In addition, the new rules extend the scope of the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b w:val="1"/>
          <w:bCs w:val="1"/>
          <w:sz w:val="28"/>
          <w:szCs w:val="28"/>
        </w:rPr>
      </w:pPr>
      <w:r w:rsidDel="00000000" w:rsidR="00000000" w:rsidRPr="00000000">
        <w:rPr>
          <w:b w:val="1"/>
          <w:bCs w:val="1"/>
          <w:sz w:val="28"/>
          <w:szCs w:val="28"/>
          <w:rtl w:val="0"/>
        </w:rPr>
        <w:t xml:space="preserve">AVMSD to video-sharing platforms that tag and organize content.</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b w:val="1"/>
          <w:bCs w:val="1"/>
        </w:rPr>
      </w:pPr>
      <w:r w:rsidDel="00000000" w:rsidR="00000000" w:rsidRPr="00000000">
        <w:rPr>
          <w:b w:val="1"/>
          <w:bCs w:val="1"/>
          <w:rtl w:val="0"/>
        </w:rPr>
        <w:t xml:space="preserve">Member State Measures on Audiovisual Services</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A number of Member States maintain measures that affect trade in audiovisual services. A summary of some of the more significant national practices follows.</w:t>
      </w:r>
    </w:p>
    <w:p w:rsidR="00000000" w:rsidDel="00000000" w:rsidP="00000000" w:rsidRDefault="00000000" w:rsidRPr="00000000" w14:paraId="00000086">
      <w:pPr>
        <w:rPr/>
      </w:pPr>
      <w:r w:rsidDel="00000000" w:rsidR="00000000" w:rsidRPr="00000000">
        <w:rPr>
          <w:rtl w:val="0"/>
        </w:rPr>
        <w:t xml:space="preserve">• Belgium: In the Wallonia-Brussels Federation, video-on-demand services must invest a percentage of revenue into regional audiovisual works or pay a levy to the region’s Cinema and Audiovisual Centre. In 2024, a new law entered into force that increased the mandatory contribution for the largest service suppliers to 9.5 percent of revenue. Additionally in 2024, the Flemish Parliament adopted a law increasing the investment obligation on VOD services from 2 percent to up to 4 percent, accompanied by additional restrictions relating to IP ownership limitations.</w:t>
      </w:r>
    </w:p>
    <w:p w:rsidR="00000000" w:rsidDel="00000000" w:rsidP="00000000" w:rsidRDefault="00000000" w:rsidRPr="00000000" w14:paraId="00000087">
      <w:pPr>
        <w:rPr/>
      </w:pPr>
      <w:r w:rsidDel="00000000" w:rsidR="00000000" w:rsidRPr="00000000">
        <w:rPr>
          <w:rtl w:val="0"/>
        </w:rPr>
        <w:t xml:space="preserve">• Denmark: The Danish Government passed legislation in 2024 that includes a five to seven percent tax on streaming services’ revenue in Denmark. The legislation would require a two percent basic contribution of revenue, and the choice between either investing at least five percent in Danish content, or an additional three percent contribution of revenue in Denmark from audiovisual content.</w:t>
      </w:r>
    </w:p>
    <w:p w:rsidR="00000000" w:rsidDel="00000000" w:rsidP="00000000" w:rsidRDefault="00000000" w:rsidRPr="00000000" w14:paraId="00000088">
      <w:pPr>
        <w:rPr/>
      </w:pPr>
      <w:r w:rsidDel="00000000" w:rsidR="00000000" w:rsidRPr="00000000">
        <w:rPr>
          <w:rtl w:val="0"/>
        </w:rPr>
        <w:t xml:space="preserve">• France: Internet, cable, and satellite networks are required to broadcast 50 percent EU content and 30 percent to 35 percent French-language content, and must increase their investment in the production of French-language content. For VOD services, France requires an investment obligation of at least 15 percent (for television VOD services) and up to 25 percent (for streaming VOD services) of their net annual French revenues. France also imposes significant sub-quotas (up to 75 percent) for commissioned independent productions and works of original French expression. The legislative framework does not provide an exemption for thematic or niche AV services.</w:t>
      </w:r>
    </w:p>
    <w:p w:rsidR="00000000" w:rsidDel="00000000" w:rsidP="00000000" w:rsidRDefault="00000000" w:rsidRPr="00000000" w14:paraId="00000089">
      <w:pPr>
        <w:rPr/>
      </w:pPr>
      <w:r w:rsidDel="00000000" w:rsidR="00000000" w:rsidRPr="00000000">
        <w:rPr>
          <w:rtl w:val="0"/>
        </w:rPr>
        <w:t xml:space="preserve">Cinemas must reserve five weeks per quarter for the exhibition of French feature films. This requirement is reduced to four weeks per quarter for theaters that include a French short subject</w:t>
      </w:r>
    </w:p>
    <w:p w:rsidR="00000000" w:rsidDel="00000000" w:rsidP="00000000" w:rsidRDefault="00000000" w:rsidRPr="00000000" w14:paraId="0000008A">
      <w:pPr>
        <w:rPr/>
      </w:pPr>
      <w:r w:rsidDel="00000000" w:rsidR="00000000" w:rsidRPr="00000000">
        <w:rPr>
          <w:rtl w:val="0"/>
        </w:rPr>
        <w:t xml:space="preserve">film during six weeks of the preceding quarter. Operators of multiplexes may not screen any one film in such a way as to account for more than 30 percent of the multiplex’s weekly shows.</w:t>
      </w:r>
    </w:p>
    <w:p w:rsidR="00000000" w:rsidDel="00000000" w:rsidP="00000000" w:rsidRDefault="00000000" w:rsidRPr="00000000" w14:paraId="0000008B">
      <w:pPr>
        <w:rPr/>
      </w:pPr>
      <w:r w:rsidDel="00000000" w:rsidR="00000000" w:rsidRPr="00000000">
        <w:rPr>
          <w:rtl w:val="0"/>
        </w:rPr>
        <w:t xml:space="preserve">• Italy: The Italian Consolidated Audiovisual Media Services Act requires that 50 percent of eligible broadcast hours be European works, as defined in the measure, and that commercial television channel devote 16.6 percent of eligible hours to Italian works. In addition, domestic video-on-demand services must ensure that 30 percent of their catalogues are for European works produced within the past five years. Fifteen percent of a subscription video-on demand service’s catalogue must be dedicated to Italian works produced by independent producers within the past five years. Non-linear video-on-demand providers subject to Italian jurisdiction must also give prominence to EU works.</w:t>
      </w:r>
    </w:p>
    <w:p w:rsidR="00000000" w:rsidDel="00000000" w:rsidP="00000000" w:rsidRDefault="00000000" w:rsidRPr="00000000" w14:paraId="0000008C">
      <w:pPr>
        <w:rPr/>
      </w:pPr>
      <w:r w:rsidDel="00000000" w:rsidR="00000000" w:rsidRPr="00000000">
        <w:rPr>
          <w:rtl w:val="0"/>
        </w:rPr>
        <w:t xml:space="preserve">Under the Italian law, commercial broadcasters must annually invest 12.5 percent of their revenues in the production of independent European works. Half of this money is reserved for Italian works. Foreign and domestic video-on-demand providers must devote 16 percent of their annual net revenues generated in Italy to the production of European independent works. Seventy percent of the investment obligation must be reserved for Italian works produced by independent Italian producers.</w:t>
      </w:r>
    </w:p>
    <w:p w:rsidR="00000000" w:rsidDel="00000000" w:rsidP="00000000" w:rsidRDefault="00000000" w:rsidRPr="00000000" w14:paraId="0000008D">
      <w:pPr>
        <w:rPr/>
      </w:pPr>
      <w:r w:rsidDel="00000000" w:rsidR="00000000" w:rsidRPr="00000000">
        <w:rPr>
          <w:rtl w:val="0"/>
        </w:rPr>
        <w:t xml:space="preserve">• The Netherlands: A law mandating VOD service providers invest 5 percent of national revenues either into Dutch works or into the Dutch film fund entered into force in 2024. This law applies to VOD services with an annual turnover of at least €10 million (approximately $10.4 million) within the Netherlands, and includes a 60 percent sub-quota for independent productions. The Netherlands also imposes a 30 percent European works catalogue quota for VOD services.</w:t>
      </w:r>
    </w:p>
    <w:p w:rsidR="00000000" w:rsidDel="00000000" w:rsidP="00000000" w:rsidRDefault="00000000" w:rsidRPr="00000000" w14:paraId="0000008E">
      <w:pPr>
        <w:rPr/>
      </w:pPr>
      <w:r w:rsidDel="00000000" w:rsidR="00000000" w:rsidRPr="00000000">
        <w:rPr>
          <w:rtl w:val="0"/>
        </w:rPr>
        <w:t xml:space="preserve">• Poland: Television broadcasters must dedicate at least 33 percent of their broadcasting time (excluding time allocated to information services, advertisements, telemarketing, sports broadcasts, and game shows) to programs originally produced in the Polish language, at least 50 percent of their broadcasting time to programs of EU origin, and at least 10 percent of their broadcasting time to programs by EU independent producers. On-demand services must promote content of EU origin, especially content originally produced in Polish, and dedicate at least 30 percent of their catalogue to EU content.</w:t>
      </w:r>
    </w:p>
    <w:p w:rsidR="00000000" w:rsidDel="00000000" w:rsidP="00000000" w:rsidRDefault="00000000" w:rsidRPr="00000000" w14:paraId="0000008F">
      <w:pPr>
        <w:rPr/>
      </w:pPr>
      <w:r w:rsidDel="00000000" w:rsidR="00000000" w:rsidRPr="00000000">
        <w:rPr>
          <w:rtl w:val="0"/>
        </w:rPr>
        <w:t xml:space="preserve">• Spain: For every three days that a film from a non-EU country is screened, one EU film must be shown in movie theaters. This ratio is reduced to every four days if the cinema screens a film in an official language of Spain other than Spanish and keeps showing the film in that language throughout the day. The catalogue of on-demand services must include at least thirty percent EU content, of which at least half must be in an official language of Spain. In addition, broadcasters and on-demand services with revenues exceeding €50 million (approximately $52 million) must invest five percent of their revenues in the production of EU and Spanish works, and 40 percent of this allocation must be reserved for works of independent producers in any of Spain’s official languages.</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p162</w:t>
        <w:br w:type="textWrapping"/>
      </w:r>
    </w:p>
    <w:p w:rsidR="00000000" w:rsidDel="00000000" w:rsidP="00000000" w:rsidRDefault="00000000" w:rsidRPr="00000000" w14:paraId="00000092">
      <w:pPr>
        <w:rPr>
          <w:b w:val="1"/>
          <w:bCs w:val="1"/>
          <w:sz w:val="28"/>
          <w:szCs w:val="28"/>
        </w:rPr>
      </w:pPr>
      <w:r w:rsidDel="00000000" w:rsidR="00000000" w:rsidRPr="00000000">
        <w:rPr>
          <w:b w:val="1"/>
          <w:bCs w:val="1"/>
          <w:sz w:val="28"/>
          <w:szCs w:val="28"/>
          <w:rtl w:val="0"/>
        </w:rPr>
        <w:t xml:space="preserve">Artificial Intelligence (AI) Act</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The EU AI Act entered into force in August 2024, with rules applying in a staggered manner between February 2025 and August 2027. The Act establishes a risk-based approach to regulating AI systems by identifying AI systems as minimal, limited, high, or unacceptable risks, and regulating accordingly, including through conformity assessment. The AI Act applies differentiated obligations to various actors, in an effort to include the AI systems’ manufacturers, importers, and users. The Act’s scope applies to services such as machine learning programs, translations programs, speech to text conversion, or forecasting and optimization programs. The Act employs the strictest requirements on applications deemed “high-risk”, such as facial recognition technology, credit scoring, and critical infrastructure. AI systems deemed as “unacceptable risk” are banned.</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The Act will be supplemented by Implementing Acts and standards to operationalize its requirements for general-purpose AI, foundation models and high-risk AI. The Commission launched a consultation on a Code of Practice for providers of general-purpose AI (AI systems designed to perform a broad range of tasks, such as large-language models), which is expected to be finalized by April 2025.</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The AI Act will also require providers of general-purpose AI to disclose a “sufficiently detailed” summary of their model training data. The Commission is currently developing a template for these disclosures. If the template requires granular disclosure of training data, it may impinge on the IP, including trade secrets of model developers.</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CEN and CENELEC, the European standardization bodies, have launched a dedicated technical committee (JTC 21) to develop harmonized standards that will support the implementation of the AI Act, including a framework for AI trustworthiness and standards for AI risk management and quality assurance. It remains unclear whether these standards will be consistent with existing ISO standards (e.g., ISO 42001). Divergent standards would require U.S. firms to adapt to EU-specific requirements.</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b w:val="1"/>
          <w:bCs w:val="1"/>
          <w:sz w:val="28"/>
          <w:szCs w:val="28"/>
        </w:rPr>
      </w:pPr>
      <w:r w:rsidDel="00000000" w:rsidR="00000000" w:rsidRPr="00000000">
        <w:rPr>
          <w:b w:val="1"/>
          <w:bCs w:val="1"/>
          <w:sz w:val="28"/>
          <w:szCs w:val="28"/>
          <w:rtl w:val="0"/>
        </w:rPr>
        <w:t xml:space="preserve">Data Act</w:t>
      </w:r>
    </w:p>
    <w:p w:rsidR="00000000" w:rsidDel="00000000" w:rsidP="00000000" w:rsidRDefault="00000000" w:rsidRPr="00000000" w14:paraId="0000009E">
      <w:pPr>
        <w:rPr>
          <w:b w:val="1"/>
          <w:bCs w:val="1"/>
          <w:sz w:val="28"/>
          <w:szCs w:val="28"/>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The Data Act entered into force in January 2024, and its rules will go into effect on September 12, 2025. The Act establishes rules for access and use of both personal and non-personal data by businesses, consumers, researchers, and public sector bodies, including data generated by connected devices and digital services. The Act applies to the transfer or “sharing” of business-to-business, business-to-consumer, and business to-government non-personal data that is stored within industrial applications (e.g., robots, wind farms) and smart devices (e.g., smart TVs, connected cars). The Data Act regulates the rights of users (in many cases meaning the generators of such data, like the users of smart TVs or drivers of connected cars) to access data that these connected machines or devices generate. The Data Act also mandates certain sharing of this data with third parties, including researchers, public sector bodies, and other private companies. Firms may only refuse access to data covered by trade secrets in exceptional circumstances, but can require the users and third parties to preserve the confidentiality of data considered to be trade secrets. Additionally, the Data Act requires cloud service and other data processing service providers to remove obstacles for customers terminating their service. On international transfers of non-personal data, the rules oblige providers of such services to take “all reasonable technical, legal and organizational measures, including contractual arrangements” to prevent international transfers or governmental access to non-personal data that are in conflict with EU or Member state law. This may impose burdensome requirements on U.S. service providers and undermine the ability of U.S. providers of such services to compete in the European market.</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b w:val="1"/>
          <w:bCs w:val="1"/>
          <w:sz w:val="28"/>
          <w:szCs w:val="28"/>
        </w:rPr>
      </w:pPr>
      <w:r w:rsidDel="00000000" w:rsidR="00000000" w:rsidRPr="00000000">
        <w:rPr>
          <w:b w:val="1"/>
          <w:bCs w:val="1"/>
          <w:sz w:val="28"/>
          <w:szCs w:val="28"/>
          <w:rtl w:val="0"/>
        </w:rPr>
        <w:t xml:space="preserve">Data Localization</w:t>
      </w:r>
    </w:p>
    <w:p w:rsidR="00000000" w:rsidDel="00000000" w:rsidP="00000000" w:rsidRDefault="00000000" w:rsidRPr="00000000" w14:paraId="000000A2">
      <w:pPr>
        <w:rPr>
          <w:b w:val="1"/>
          <w:bCs w:val="1"/>
          <w:sz w:val="28"/>
          <w:szCs w:val="28"/>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The GDPR took effect in May 2018. The GDPR restricts the transfer of the personal data of EU “data subjects” (any natural person whose personal data is being processed) outside of the EU, except to specific countries that the EU has determined provide adequate data protection under EU law or when other specific requirements are met, such as the use of standard contractual clauses (SCCs) or binding corporate rules. Restrictions on the flow of data have a significant effect on the conditions for the cross-border supply of numerous services and for enabling the functionality embedded in intelligent goods (i.e., smart devices), among other effects. Due to the EU’s assertion of extraterritorial jurisdiction for the GDPR, as well as the GDPR’s broad impact on many areas of the economy, U.S. companies have expressed concerns that there remains a need for clear and consistent guidance in the implementation and enforcement of the GDPR.</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In July 2016, the European Commission granted the United States an adequacy decision that applies to companies participating in the EU-U.S. Privacy Shield Framework. In July 2020, however, the CJEU issued a judgment in the Schrems II litigation that invalidated the Commission’s decision. Although the CJEU’s judgment upheld the overall validity of SCCs, it nonetheless imposed an affirmative obligation on entities using SCCs “to verify, on a case-by-case basis ... whether the law of the third country of destination ensures adequate protection, under EU law, of personal data transferred pursuant to standard data production clauses ….” In January and February 2022, multiple European Data Protection Authorities issued rulings that certain websites transferring analytics data to the United States were in breach of the GDPR, based on the Schrems II judgment. On March 25, 2022, the United States and EU announced that they have agreed in principle on a new EU-U.S. Data Privacy Framework (DPF), which is designed to provide a new mechanism to comply with EU data protection requirements for the transfer of personal data from the European Union. In July 2023, the Commission granted the United States an adequacy decision for the DPF, and organizations that self-certify their compliance with the DPF principles started transferring personal data from the EU to the U.S. in reliance on the DPF without SSCs. As of December 31, 2024, there were two pending legal challenges in the CJEU against the DPF, one on administrative grounds and one on substantive issues.</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b w:val="1"/>
          <w:bCs w:val="1"/>
          <w:sz w:val="28"/>
          <w:szCs w:val="28"/>
        </w:rPr>
      </w:pPr>
      <w:r w:rsidDel="00000000" w:rsidR="00000000" w:rsidRPr="00000000">
        <w:rPr>
          <w:b w:val="1"/>
          <w:bCs w:val="1"/>
          <w:sz w:val="28"/>
          <w:szCs w:val="28"/>
          <w:rtl w:val="0"/>
        </w:rPr>
        <w:t xml:space="preserve">Network Usage Fees</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On May 2, 2022, the European Telecommunications Network Operators Association (ETNO) released a report urging the European Commission to adopt new regulation that would require large Internet-enabled service suppliers to pay network usage fees to European telecommunications network operators in order to recoup costs they claim telecommunications network operators bear due to carrying high-bandwidth content. On October 7, 2022, the Body of European Regulators for Electronic Communications (BEREC) adopted a report that concluded the ETNO proposal was unnecessary and “could be of significant harm to the Internet ecosystem.” On February 23, 2023, the European Commission launched a public consultation on the EU’s connectivity sector and telecommunications infrastructure. On May 19, 2023, the United States submitted formal comments to the European Commission raising concerns with mandating direct payments from content and application suppliers to telecommunications network operators. On October 10, 2023, the European Commission published the results of this consultation, concluding that no plan for network usage fees would proceed given the feedback from stakeholders. On February 21, 2024, the European Commission published a white paper entitled “How to Master Europe’s Infrastructure Needs?”. On September 17, 2024, President of the European Commission, in her mission letter to the Executive Vice-President-designate for Tech Sovereignty, Security and Democracy, charged her with work on developing a new “Digital Networks Act to help boost secure high-speed broadband, both fixed and wireless” and directed her to “incentivize and encourage investments in digital infrastructure, taking into account responses to the Commission’s White Paper of February 2024.”</w:t>
      </w:r>
    </w:p>
    <w:p w:rsidR="00000000" w:rsidDel="00000000" w:rsidP="00000000" w:rsidRDefault="00000000" w:rsidRPr="00000000" w14:paraId="000000A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